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EC0E" w14:textId="6F377106" w:rsidR="00D74C24" w:rsidRDefault="00D74C24" w:rsidP="00D74C24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Haldið er dómþing aga- og úrskurðarnefndar Körfuknattleikssambands Íslands (KKÍ) miðvikudaginn </w:t>
      </w:r>
      <w:r w:rsidR="00CE0F09">
        <w:rPr>
          <w:rFonts w:ascii="Verdana" w:hAnsi="Verdana"/>
          <w:sz w:val="22"/>
          <w:szCs w:val="22"/>
        </w:rPr>
        <w:t>16. nóvember</w:t>
      </w:r>
      <w:r>
        <w:rPr>
          <w:rFonts w:ascii="Verdana" w:hAnsi="Verdana"/>
          <w:sz w:val="22"/>
          <w:szCs w:val="22"/>
        </w:rPr>
        <w:t xml:space="preserve"> 2022. </w:t>
      </w:r>
    </w:p>
    <w:p w14:paraId="0D61863E" w14:textId="77777777" w:rsidR="00D74C24" w:rsidRDefault="00D74C24" w:rsidP="00D74C2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7167B1FE" w14:textId="77777777" w:rsidR="00D74C24" w:rsidRDefault="00D74C24" w:rsidP="00D74C24">
      <w:pPr>
        <w:spacing w:line="360" w:lineRule="auto"/>
        <w:ind w:left="510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Fyrir er tekið:</w:t>
      </w:r>
    </w:p>
    <w:p w14:paraId="3437B047" w14:textId="302B36B0" w:rsidR="00D74C24" w:rsidRDefault="00B5656F" w:rsidP="00EF5E9C">
      <w:pPr>
        <w:spacing w:line="360" w:lineRule="auto"/>
        <w:ind w:left="5103"/>
        <w:rPr>
          <w:rFonts w:ascii="Verdana" w:hAnsi="Verdana"/>
          <w:sz w:val="22"/>
          <w:szCs w:val="22"/>
        </w:rPr>
      </w:pPr>
      <w:r w:rsidRPr="00B5656F">
        <w:rPr>
          <w:rFonts w:ascii="Verdana" w:hAnsi="Verdana"/>
          <w:sz w:val="22"/>
          <w:szCs w:val="22"/>
        </w:rPr>
        <w:t xml:space="preserve">Agamál nr. </w:t>
      </w:r>
      <w:r w:rsidR="00D928CC">
        <w:rPr>
          <w:rFonts w:ascii="Verdana" w:hAnsi="Verdana"/>
          <w:sz w:val="22"/>
          <w:szCs w:val="22"/>
        </w:rPr>
        <w:t>35</w:t>
      </w:r>
      <w:r w:rsidR="00D74C24" w:rsidRPr="00B5656F">
        <w:rPr>
          <w:rFonts w:ascii="Verdana" w:hAnsi="Verdana"/>
          <w:sz w:val="22"/>
          <w:szCs w:val="22"/>
        </w:rPr>
        <w:t>/20</w:t>
      </w:r>
      <w:r w:rsidR="009B09B7" w:rsidRPr="00B5656F">
        <w:rPr>
          <w:rFonts w:ascii="Verdana" w:hAnsi="Verdana"/>
          <w:sz w:val="22"/>
          <w:szCs w:val="22"/>
        </w:rPr>
        <w:t>22</w:t>
      </w:r>
      <w:r w:rsidR="00D74C24" w:rsidRPr="00B5656F">
        <w:rPr>
          <w:rFonts w:ascii="Verdana" w:hAnsi="Verdana"/>
          <w:sz w:val="22"/>
          <w:szCs w:val="22"/>
        </w:rPr>
        <w:t>-20</w:t>
      </w:r>
      <w:r w:rsidR="009B09B7" w:rsidRPr="00B5656F">
        <w:rPr>
          <w:rFonts w:ascii="Verdana" w:hAnsi="Verdana"/>
          <w:sz w:val="22"/>
          <w:szCs w:val="22"/>
        </w:rPr>
        <w:t>23</w:t>
      </w:r>
    </w:p>
    <w:p w14:paraId="57726790" w14:textId="77777777" w:rsidR="00D74C24" w:rsidRDefault="00D74C24" w:rsidP="00D74C24">
      <w:pPr>
        <w:spacing w:line="360" w:lineRule="auto"/>
        <w:ind w:left="5103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gegn</w:t>
      </w:r>
    </w:p>
    <w:p w14:paraId="5AFBDBFF" w14:textId="2A188D52" w:rsidR="00D74C24" w:rsidRDefault="003D2DE4" w:rsidP="00D74C24">
      <w:pPr>
        <w:spacing w:line="360" w:lineRule="auto"/>
        <w:ind w:left="5103"/>
        <w:rPr>
          <w:rFonts w:ascii="Verdana" w:hAnsi="Verdana"/>
          <w:sz w:val="22"/>
          <w:szCs w:val="22"/>
        </w:rPr>
      </w:pPr>
      <w:proofErr w:type="spellStart"/>
      <w:r>
        <w:rPr>
          <w:rFonts w:ascii="Verdana" w:hAnsi="Verdana"/>
          <w:sz w:val="22"/>
          <w:szCs w:val="22"/>
        </w:rPr>
        <w:t>Gkay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Gaios</w:t>
      </w:r>
      <w:proofErr w:type="spellEnd"/>
      <w:r>
        <w:rPr>
          <w:rFonts w:ascii="Verdana" w:hAnsi="Verdana"/>
          <w:sz w:val="22"/>
          <w:szCs w:val="22"/>
        </w:rPr>
        <w:t xml:space="preserve"> </w:t>
      </w:r>
      <w:proofErr w:type="spellStart"/>
      <w:r>
        <w:rPr>
          <w:rFonts w:ascii="Verdana" w:hAnsi="Verdana"/>
          <w:sz w:val="22"/>
          <w:szCs w:val="22"/>
        </w:rPr>
        <w:t>Skordilis</w:t>
      </w:r>
      <w:proofErr w:type="spellEnd"/>
    </w:p>
    <w:p w14:paraId="0B33B9EE" w14:textId="77777777" w:rsidR="00D74C24" w:rsidRDefault="00D74C24" w:rsidP="00D74C2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14:paraId="5A708F57" w14:textId="77777777" w:rsidR="00D74C24" w:rsidRDefault="00D74C24" w:rsidP="00D74C24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Í málinu er kveðinn upp svofelldur</w:t>
      </w:r>
    </w:p>
    <w:p w14:paraId="2B37D912" w14:textId="77777777" w:rsidR="00D74C24" w:rsidRDefault="00D74C24" w:rsidP="00D74C24">
      <w:pPr>
        <w:spacing w:line="360" w:lineRule="auto"/>
        <w:ind w:firstLine="720"/>
        <w:jc w:val="both"/>
        <w:rPr>
          <w:rFonts w:ascii="Verdana" w:hAnsi="Verdana"/>
          <w:sz w:val="22"/>
          <w:szCs w:val="22"/>
        </w:rPr>
      </w:pPr>
    </w:p>
    <w:p w14:paraId="188F4090" w14:textId="77777777" w:rsidR="00D74C24" w:rsidRDefault="00D74C24" w:rsidP="00D74C24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ÚRSKURÐUR</w:t>
      </w:r>
    </w:p>
    <w:p w14:paraId="36BB6913" w14:textId="103595AC" w:rsidR="00D74C24" w:rsidRDefault="00D74C24" w:rsidP="003E743A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I.</w:t>
      </w:r>
    </w:p>
    <w:p w14:paraId="4EBAC861" w14:textId="3F8DD155" w:rsidR="00D74C24" w:rsidRDefault="003E743A" w:rsidP="00D74C24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Málavextir</w:t>
      </w:r>
    </w:p>
    <w:p w14:paraId="5797A7A3" w14:textId="7F57B861" w:rsidR="00347B01" w:rsidRDefault="003E743A" w:rsidP="00D74C24">
      <w:pPr>
        <w:spacing w:line="360" w:lineRule="auto"/>
        <w:jc w:val="both"/>
        <w:rPr>
          <w:rStyle w:val="Heading1Char"/>
        </w:rPr>
      </w:pPr>
      <w:r>
        <w:rPr>
          <w:rFonts w:ascii="Verdana" w:hAnsi="Verdana"/>
          <w:sz w:val="22"/>
          <w:szCs w:val="22"/>
        </w:rPr>
        <w:t xml:space="preserve">Kærða var vísað af leikvelli í leik </w:t>
      </w:r>
      <w:r w:rsidR="00A011DB">
        <w:rPr>
          <w:rFonts w:ascii="Verdana" w:hAnsi="Verdana"/>
          <w:sz w:val="22"/>
          <w:szCs w:val="22"/>
        </w:rPr>
        <w:t>Njarðvíkur</w:t>
      </w:r>
      <w:r>
        <w:rPr>
          <w:rFonts w:ascii="Verdana" w:hAnsi="Verdana"/>
          <w:sz w:val="22"/>
          <w:szCs w:val="22"/>
        </w:rPr>
        <w:t xml:space="preserve"> gegn </w:t>
      </w:r>
      <w:r w:rsidR="00A011DB">
        <w:rPr>
          <w:rFonts w:ascii="Verdana" w:hAnsi="Verdana"/>
          <w:sz w:val="22"/>
          <w:szCs w:val="22"/>
        </w:rPr>
        <w:t>Grindavík</w:t>
      </w:r>
      <w:r>
        <w:rPr>
          <w:rFonts w:ascii="Verdana" w:hAnsi="Verdana"/>
          <w:sz w:val="22"/>
          <w:szCs w:val="22"/>
        </w:rPr>
        <w:t xml:space="preserve"> </w:t>
      </w:r>
      <w:r w:rsidR="0056214B">
        <w:rPr>
          <w:rFonts w:ascii="Verdana" w:hAnsi="Verdana"/>
          <w:sz w:val="22"/>
          <w:szCs w:val="22"/>
        </w:rPr>
        <w:t xml:space="preserve">sem fram fór </w:t>
      </w:r>
      <w:r>
        <w:rPr>
          <w:rFonts w:ascii="Verdana" w:hAnsi="Verdana"/>
          <w:sz w:val="22"/>
          <w:szCs w:val="22"/>
        </w:rPr>
        <w:t xml:space="preserve">þann </w:t>
      </w:r>
      <w:r w:rsidR="00A011DB">
        <w:rPr>
          <w:rFonts w:ascii="Verdana" w:hAnsi="Verdana"/>
          <w:sz w:val="22"/>
          <w:szCs w:val="22"/>
        </w:rPr>
        <w:t>4</w:t>
      </w:r>
      <w:r>
        <w:rPr>
          <w:rFonts w:ascii="Verdana" w:hAnsi="Verdana"/>
          <w:sz w:val="22"/>
          <w:szCs w:val="22"/>
        </w:rPr>
        <w:t xml:space="preserve">. nóvember </w:t>
      </w:r>
      <w:r w:rsidRPr="00E51696">
        <w:rPr>
          <w:rStyle w:val="Heading1Char"/>
        </w:rPr>
        <w:t xml:space="preserve">2022. </w:t>
      </w:r>
      <w:r w:rsidR="0056214B" w:rsidRPr="00E51696">
        <w:rPr>
          <w:rStyle w:val="Heading1Char"/>
        </w:rPr>
        <w:t xml:space="preserve">Í </w:t>
      </w:r>
      <w:r w:rsidR="00DD185A">
        <w:rPr>
          <w:rStyle w:val="Heading1Char"/>
        </w:rPr>
        <w:t>atvikalýsingu dómara eftir leik sagði: „</w:t>
      </w:r>
      <w:r w:rsidR="00E51696" w:rsidRPr="00E51696">
        <w:rPr>
          <w:rStyle w:val="Heading1Char"/>
        </w:rPr>
        <w:t>Leikmaður númer 15 hjá Grindavík fær dæmda á sig óíþróttamannslega</w:t>
      </w:r>
      <w:r w:rsidR="00DD185A">
        <w:rPr>
          <w:rStyle w:val="Heading1Char"/>
        </w:rPr>
        <w:t xml:space="preserve"> </w:t>
      </w:r>
      <w:r w:rsidR="00E51696" w:rsidRPr="00E51696">
        <w:rPr>
          <w:rStyle w:val="Heading1Char"/>
        </w:rPr>
        <w:t>villu fyrir að slá til leikmanns andstæðinga. Við sláttinn æsist leikmaður andstæðinga og ætlar að vaða í leikmann númer 15 hjá Grindavík. Leikmenn og dómarar koma á milli manna sem verður til þess að leikmaður númer 15 hjá Grindavík hrindir til einum dómara leiksins í tilraun sinni að ná til andstæðings. Leikmaður númer 15 hjá Grindavík fær í kjölfarið beinan brottrekstur fyrir tilburði sína.</w:t>
      </w:r>
      <w:r w:rsidR="00DD185A">
        <w:rPr>
          <w:rStyle w:val="Heading1Char"/>
        </w:rPr>
        <w:t>“</w:t>
      </w:r>
    </w:p>
    <w:p w14:paraId="514E3F34" w14:textId="41DB919F" w:rsidR="00181C46" w:rsidRDefault="00181C46" w:rsidP="00D74C24">
      <w:pPr>
        <w:spacing w:line="360" w:lineRule="auto"/>
        <w:jc w:val="both"/>
        <w:rPr>
          <w:rStyle w:val="Heading1Char"/>
        </w:rPr>
      </w:pPr>
    </w:p>
    <w:p w14:paraId="1F6E5189" w14:textId="7222BC54" w:rsidR="00181C46" w:rsidRDefault="00181C46" w:rsidP="00D74C24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Style w:val="Heading1Char"/>
        </w:rPr>
        <w:t>Aga- og úrskurðarnefnd tók til skoðunar myndband af atvikinu.</w:t>
      </w:r>
    </w:p>
    <w:p w14:paraId="6DDDA8BE" w14:textId="7A515372" w:rsidR="00D74C24" w:rsidRDefault="00D74C24" w:rsidP="00D74C24">
      <w:pPr>
        <w:spacing w:before="480"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II</w:t>
      </w:r>
      <w:r>
        <w:rPr>
          <w:rFonts w:ascii="Verdana" w:hAnsi="Verdana"/>
          <w:sz w:val="22"/>
          <w:szCs w:val="22"/>
        </w:rPr>
        <w:t>.</w:t>
      </w:r>
    </w:p>
    <w:p w14:paraId="6B9F6C3E" w14:textId="176C48BC" w:rsidR="00D74C24" w:rsidRDefault="00181C46" w:rsidP="00D74C24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Niðurstaða</w:t>
      </w:r>
    </w:p>
    <w:p w14:paraId="54F0EA68" w14:textId="1DF3860E" w:rsidR="00CB2B9C" w:rsidRDefault="003B5A0A" w:rsidP="0095769A">
      <w:pPr>
        <w:spacing w:line="360" w:lineRule="auto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Með því að ganga fram með þeim hætti sem kærði gerði, þar sem hann </w:t>
      </w:r>
      <w:r w:rsidR="00C64CDB">
        <w:rPr>
          <w:rFonts w:ascii="Verdana" w:hAnsi="Verdana"/>
          <w:bCs/>
          <w:sz w:val="22"/>
          <w:szCs w:val="22"/>
        </w:rPr>
        <w:t>sótti hart að því að ná til andstæðings síns með ógnandi hætti</w:t>
      </w:r>
      <w:r w:rsidR="00F16CA4">
        <w:rPr>
          <w:rFonts w:ascii="Verdana" w:hAnsi="Verdana"/>
          <w:bCs/>
          <w:sz w:val="22"/>
          <w:szCs w:val="22"/>
        </w:rPr>
        <w:t xml:space="preserve"> og lét sér fátt um finnast þó aðrir leikmenn og dómari væru á milli gerðist kærði sekur um ósæmilega framkomu í skilningi c. liðar 1. mgr. 13. gr. reglugerðar um aga- og úrskurðarmál. </w:t>
      </w:r>
      <w:r w:rsidR="0095769A">
        <w:rPr>
          <w:rFonts w:ascii="Verdana" w:hAnsi="Verdana"/>
          <w:bCs/>
          <w:sz w:val="22"/>
          <w:szCs w:val="22"/>
        </w:rPr>
        <w:t xml:space="preserve">Við ákvörðun refsingar samkvæmt framangreindu ákvæði skal m.a. taka tillit til þess hver brotaþoli er. Er það sérlega ámælisvert að </w:t>
      </w:r>
      <w:r w:rsidR="00170426">
        <w:rPr>
          <w:rFonts w:ascii="Verdana" w:hAnsi="Verdana"/>
          <w:bCs/>
          <w:sz w:val="22"/>
          <w:szCs w:val="22"/>
        </w:rPr>
        <w:t>kærði hafi gripið í og hrint dómara leiksins</w:t>
      </w:r>
      <w:r w:rsidR="0037418A">
        <w:rPr>
          <w:rFonts w:ascii="Verdana" w:hAnsi="Verdana"/>
          <w:bCs/>
          <w:sz w:val="22"/>
          <w:szCs w:val="22"/>
        </w:rPr>
        <w:t xml:space="preserve"> og verður að </w:t>
      </w:r>
      <w:r w:rsidR="00DD0202">
        <w:rPr>
          <w:rFonts w:ascii="Verdana" w:hAnsi="Verdana"/>
          <w:bCs/>
          <w:sz w:val="22"/>
          <w:szCs w:val="22"/>
        </w:rPr>
        <w:t>telja</w:t>
      </w:r>
      <w:r w:rsidR="00833642">
        <w:rPr>
          <w:rFonts w:ascii="Verdana" w:hAnsi="Verdana"/>
          <w:bCs/>
          <w:sz w:val="22"/>
          <w:szCs w:val="22"/>
        </w:rPr>
        <w:t xml:space="preserve"> honum</w:t>
      </w:r>
      <w:r w:rsidR="00DD0202">
        <w:rPr>
          <w:rFonts w:ascii="Verdana" w:hAnsi="Verdana"/>
          <w:bCs/>
          <w:sz w:val="22"/>
          <w:szCs w:val="22"/>
        </w:rPr>
        <w:t xml:space="preserve"> það til </w:t>
      </w:r>
      <w:proofErr w:type="spellStart"/>
      <w:r w:rsidR="00DD0202">
        <w:rPr>
          <w:rFonts w:ascii="Verdana" w:hAnsi="Verdana"/>
          <w:bCs/>
          <w:sz w:val="22"/>
          <w:szCs w:val="22"/>
        </w:rPr>
        <w:t>refsiþyngingar</w:t>
      </w:r>
      <w:proofErr w:type="spellEnd"/>
      <w:r w:rsidR="00DD0202">
        <w:rPr>
          <w:rFonts w:ascii="Verdana" w:hAnsi="Verdana"/>
          <w:bCs/>
          <w:sz w:val="22"/>
          <w:szCs w:val="22"/>
        </w:rPr>
        <w:t>. Tveggja leikja bann er því hæfileg refsing.</w:t>
      </w:r>
    </w:p>
    <w:p w14:paraId="26FD36ED" w14:textId="214FB88D" w:rsidR="00D74C24" w:rsidRDefault="00D74C24" w:rsidP="00D74C24">
      <w:pPr>
        <w:spacing w:before="360"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lastRenderedPageBreak/>
        <w:t>ÚRSKURÐARORÐ</w:t>
      </w:r>
    </w:p>
    <w:p w14:paraId="5B30E42F" w14:textId="6EB72817" w:rsidR="00D74C24" w:rsidRDefault="00A63D7C" w:rsidP="0000102C">
      <w:pPr>
        <w:spacing w:before="120"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Með vísan til ákvæðis </w:t>
      </w:r>
      <w:r w:rsidR="00CA5DC9">
        <w:rPr>
          <w:rFonts w:ascii="Verdana" w:hAnsi="Verdana"/>
          <w:sz w:val="22"/>
          <w:szCs w:val="22"/>
        </w:rPr>
        <w:t>c</w:t>
      </w:r>
      <w:r>
        <w:rPr>
          <w:rFonts w:ascii="Verdana" w:hAnsi="Verdana"/>
          <w:sz w:val="22"/>
          <w:szCs w:val="22"/>
        </w:rPr>
        <w:t xml:space="preserve">. liðar 1. mgr. 13. gr. reglugerðar um aga- og úrskurðarmál skal hinn kærði, </w:t>
      </w:r>
      <w:proofErr w:type="spellStart"/>
      <w:r w:rsidR="006138F0">
        <w:rPr>
          <w:rFonts w:ascii="Verdana" w:hAnsi="Verdana"/>
          <w:sz w:val="22"/>
          <w:szCs w:val="22"/>
        </w:rPr>
        <w:t>Gkay</w:t>
      </w:r>
      <w:proofErr w:type="spellEnd"/>
      <w:r w:rsidR="006138F0">
        <w:rPr>
          <w:rFonts w:ascii="Verdana" w:hAnsi="Verdana"/>
          <w:sz w:val="22"/>
          <w:szCs w:val="22"/>
        </w:rPr>
        <w:t xml:space="preserve"> </w:t>
      </w:r>
      <w:proofErr w:type="spellStart"/>
      <w:r w:rsidR="006138F0">
        <w:rPr>
          <w:rFonts w:ascii="Verdana" w:hAnsi="Verdana"/>
          <w:sz w:val="22"/>
          <w:szCs w:val="22"/>
        </w:rPr>
        <w:t>Gaios</w:t>
      </w:r>
      <w:proofErr w:type="spellEnd"/>
      <w:r w:rsidR="006138F0">
        <w:rPr>
          <w:rFonts w:ascii="Verdana" w:hAnsi="Verdana"/>
          <w:sz w:val="22"/>
          <w:szCs w:val="22"/>
        </w:rPr>
        <w:t xml:space="preserve"> </w:t>
      </w:r>
      <w:proofErr w:type="spellStart"/>
      <w:r w:rsidR="006138F0">
        <w:rPr>
          <w:rFonts w:ascii="Verdana" w:hAnsi="Verdana"/>
          <w:sz w:val="22"/>
          <w:szCs w:val="22"/>
        </w:rPr>
        <w:t>Skordilis</w:t>
      </w:r>
      <w:proofErr w:type="spellEnd"/>
      <w:r w:rsidR="005754B4">
        <w:rPr>
          <w:rFonts w:ascii="Verdana" w:hAnsi="Verdana"/>
          <w:sz w:val="22"/>
          <w:szCs w:val="22"/>
        </w:rPr>
        <w:t>,</w:t>
      </w:r>
      <w:r w:rsidR="006138F0">
        <w:rPr>
          <w:rFonts w:ascii="Verdana" w:hAnsi="Verdana"/>
          <w:sz w:val="22"/>
          <w:szCs w:val="22"/>
        </w:rPr>
        <w:t xml:space="preserve"> sæta</w:t>
      </w:r>
      <w:r>
        <w:rPr>
          <w:rFonts w:ascii="Verdana" w:hAnsi="Verdana"/>
          <w:sz w:val="22"/>
          <w:szCs w:val="22"/>
        </w:rPr>
        <w:t xml:space="preserve"> </w:t>
      </w:r>
      <w:r w:rsidR="00CA5DC9">
        <w:rPr>
          <w:rFonts w:ascii="Verdana" w:hAnsi="Verdana"/>
          <w:sz w:val="22"/>
          <w:szCs w:val="22"/>
        </w:rPr>
        <w:t>tveggja leikja</w:t>
      </w:r>
      <w:r>
        <w:rPr>
          <w:rFonts w:ascii="Verdana" w:hAnsi="Verdana"/>
          <w:sz w:val="22"/>
          <w:szCs w:val="22"/>
        </w:rPr>
        <w:t xml:space="preserve"> banni vegna háttsemi sinnar </w:t>
      </w:r>
      <w:r w:rsidR="00CA5DC9">
        <w:rPr>
          <w:rFonts w:ascii="Verdana" w:hAnsi="Verdana"/>
          <w:sz w:val="22"/>
          <w:szCs w:val="22"/>
        </w:rPr>
        <w:t>í</w:t>
      </w:r>
      <w:r w:rsidR="0018119D">
        <w:rPr>
          <w:rFonts w:ascii="Verdana" w:hAnsi="Verdana"/>
          <w:sz w:val="22"/>
          <w:szCs w:val="22"/>
        </w:rPr>
        <w:t xml:space="preserve"> leik</w:t>
      </w:r>
      <w:r>
        <w:rPr>
          <w:rFonts w:ascii="Verdana" w:hAnsi="Verdana"/>
          <w:sz w:val="22"/>
          <w:szCs w:val="22"/>
        </w:rPr>
        <w:t xml:space="preserve"> </w:t>
      </w:r>
      <w:r w:rsidR="0018119D">
        <w:rPr>
          <w:rFonts w:ascii="Verdana" w:hAnsi="Verdana"/>
          <w:sz w:val="22"/>
          <w:szCs w:val="22"/>
        </w:rPr>
        <w:t>Njarðvíkur</w:t>
      </w:r>
      <w:r w:rsidR="006138F0">
        <w:rPr>
          <w:rFonts w:ascii="Verdana" w:hAnsi="Verdana"/>
          <w:sz w:val="22"/>
          <w:szCs w:val="22"/>
        </w:rPr>
        <w:t xml:space="preserve"> og Grindavíkur</w:t>
      </w:r>
      <w:r>
        <w:rPr>
          <w:rFonts w:ascii="Verdana" w:hAnsi="Verdana"/>
          <w:sz w:val="22"/>
          <w:szCs w:val="22"/>
        </w:rPr>
        <w:t xml:space="preserve">, </w:t>
      </w:r>
      <w:proofErr w:type="spellStart"/>
      <w:r w:rsidR="0018119D">
        <w:rPr>
          <w:rFonts w:ascii="Verdana" w:hAnsi="Verdana"/>
          <w:sz w:val="22"/>
          <w:szCs w:val="22"/>
        </w:rPr>
        <w:t>Subwaydeild</w:t>
      </w:r>
      <w:proofErr w:type="spellEnd"/>
      <w:r w:rsidR="0018119D">
        <w:rPr>
          <w:rFonts w:ascii="Verdana" w:hAnsi="Verdana"/>
          <w:sz w:val="22"/>
          <w:szCs w:val="22"/>
        </w:rPr>
        <w:t xml:space="preserve"> karla</w:t>
      </w:r>
      <w:r>
        <w:rPr>
          <w:rFonts w:ascii="Verdana" w:hAnsi="Verdana"/>
          <w:sz w:val="22"/>
          <w:szCs w:val="22"/>
        </w:rPr>
        <w:t xml:space="preserve">, sem fram fór </w:t>
      </w:r>
      <w:r w:rsidR="0018119D">
        <w:rPr>
          <w:rFonts w:ascii="Verdana" w:hAnsi="Verdana"/>
          <w:sz w:val="22"/>
          <w:szCs w:val="22"/>
        </w:rPr>
        <w:t xml:space="preserve">þann </w:t>
      </w:r>
      <w:r w:rsidR="00A011DB">
        <w:rPr>
          <w:rFonts w:ascii="Verdana" w:hAnsi="Verdana"/>
          <w:sz w:val="22"/>
          <w:szCs w:val="22"/>
        </w:rPr>
        <w:t>4. nóvember</w:t>
      </w:r>
      <w:r>
        <w:rPr>
          <w:rFonts w:ascii="Verdana" w:hAnsi="Verdana"/>
          <w:sz w:val="22"/>
          <w:szCs w:val="22"/>
        </w:rPr>
        <w:t xml:space="preserve"> 2022.</w:t>
      </w:r>
    </w:p>
    <w:p w14:paraId="7DAEC0DA" w14:textId="77777777" w:rsidR="00D74C24" w:rsidRDefault="00D74C24" w:rsidP="00D74C24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14:paraId="34296CF9" w14:textId="4717AAD6" w:rsidR="00D74C24" w:rsidRDefault="00D74C24" w:rsidP="00D74C24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Birkir Guðmundarson, formaður</w:t>
      </w:r>
    </w:p>
    <w:p w14:paraId="0984DDAB" w14:textId="7CACC6E5" w:rsidR="00D74C24" w:rsidRDefault="00D74C24" w:rsidP="00D74C24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Jónas Már Torfason</w:t>
      </w:r>
      <w:r w:rsidR="00570E48">
        <w:rPr>
          <w:rFonts w:ascii="Verdana" w:hAnsi="Verdana"/>
          <w:sz w:val="22"/>
          <w:szCs w:val="22"/>
        </w:rPr>
        <w:t>, varaformaður</w:t>
      </w:r>
    </w:p>
    <w:p w14:paraId="11BE64FA" w14:textId="3435608B" w:rsidR="00B5656F" w:rsidRDefault="00B5656F" w:rsidP="00D74C24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Kristinn G. Kristinsson</w:t>
      </w:r>
    </w:p>
    <w:p w14:paraId="0D4FAE4D" w14:textId="2FB36F37" w:rsidR="00570E48" w:rsidRDefault="00570E48" w:rsidP="00D74C24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Leó Daðason</w:t>
      </w:r>
    </w:p>
    <w:p w14:paraId="493898DA" w14:textId="0B0099A8" w:rsidR="00D74C24" w:rsidRDefault="00570E48" w:rsidP="00D74C24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Pálmi Rögnvaldsson</w:t>
      </w:r>
    </w:p>
    <w:p w14:paraId="17D32874" w14:textId="53AC91AE" w:rsidR="00D74C24" w:rsidRPr="00542363" w:rsidRDefault="00D74C24" w:rsidP="00A011DB">
      <w:pPr>
        <w:spacing w:before="480" w:line="360" w:lineRule="auto"/>
        <w:jc w:val="both"/>
        <w:rPr>
          <w:rFonts w:ascii="Arial" w:hAnsi="Arial" w:cs="Arial"/>
          <w:sz w:val="20"/>
        </w:rPr>
      </w:pPr>
      <w:r>
        <w:rPr>
          <w:rFonts w:ascii="Verdana" w:hAnsi="Verdana"/>
          <w:sz w:val="22"/>
          <w:szCs w:val="22"/>
        </w:rPr>
        <w:tab/>
      </w:r>
    </w:p>
    <w:p w14:paraId="4E28FA57" w14:textId="77777777" w:rsidR="00936E30" w:rsidRPr="00542363" w:rsidRDefault="00936E30">
      <w:pPr>
        <w:rPr>
          <w:rFonts w:ascii="Arial" w:hAnsi="Arial" w:cs="Arial"/>
          <w:sz w:val="20"/>
        </w:rPr>
      </w:pPr>
    </w:p>
    <w:sectPr w:rsidR="00936E30" w:rsidRPr="00542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B7411" w14:textId="77777777" w:rsidR="002D00CF" w:rsidRDefault="002D00CF" w:rsidP="00EA2E8B">
      <w:r>
        <w:separator/>
      </w:r>
    </w:p>
  </w:endnote>
  <w:endnote w:type="continuationSeparator" w:id="0">
    <w:p w14:paraId="51BE32D5" w14:textId="77777777" w:rsidR="002D00CF" w:rsidRDefault="002D00CF" w:rsidP="00EA2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3694B" w14:textId="77777777" w:rsidR="002D00CF" w:rsidRDefault="002D00CF" w:rsidP="00EA2E8B">
      <w:r>
        <w:separator/>
      </w:r>
    </w:p>
  </w:footnote>
  <w:footnote w:type="continuationSeparator" w:id="0">
    <w:p w14:paraId="051A40CF" w14:textId="77777777" w:rsidR="002D00CF" w:rsidRDefault="002D00CF" w:rsidP="00EA2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9354E"/>
    <w:multiLevelType w:val="hybridMultilevel"/>
    <w:tmpl w:val="FD24E732"/>
    <w:lvl w:ilvl="0" w:tplc="20629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24"/>
    <w:rsid w:val="0000102C"/>
    <w:rsid w:val="00010E46"/>
    <w:rsid w:val="00022C43"/>
    <w:rsid w:val="00031638"/>
    <w:rsid w:val="00067894"/>
    <w:rsid w:val="00083DE7"/>
    <w:rsid w:val="000C2BE1"/>
    <w:rsid w:val="000F5122"/>
    <w:rsid w:val="00100992"/>
    <w:rsid w:val="00101588"/>
    <w:rsid w:val="00151FB3"/>
    <w:rsid w:val="00170426"/>
    <w:rsid w:val="0018119D"/>
    <w:rsid w:val="00181C46"/>
    <w:rsid w:val="001B6F97"/>
    <w:rsid w:val="001C72E9"/>
    <w:rsid w:val="00293F8B"/>
    <w:rsid w:val="002C488D"/>
    <w:rsid w:val="002D00CF"/>
    <w:rsid w:val="002F5F81"/>
    <w:rsid w:val="00312A84"/>
    <w:rsid w:val="00322E09"/>
    <w:rsid w:val="00327FFB"/>
    <w:rsid w:val="00347B01"/>
    <w:rsid w:val="00365C46"/>
    <w:rsid w:val="0037418A"/>
    <w:rsid w:val="00395108"/>
    <w:rsid w:val="00396A04"/>
    <w:rsid w:val="003B4163"/>
    <w:rsid w:val="003B5A0A"/>
    <w:rsid w:val="003C755F"/>
    <w:rsid w:val="003D2DE4"/>
    <w:rsid w:val="003E743A"/>
    <w:rsid w:val="00480B1C"/>
    <w:rsid w:val="004B57E6"/>
    <w:rsid w:val="0051520F"/>
    <w:rsid w:val="0052271C"/>
    <w:rsid w:val="00524EBE"/>
    <w:rsid w:val="00537D74"/>
    <w:rsid w:val="00542363"/>
    <w:rsid w:val="0055458D"/>
    <w:rsid w:val="00557D0E"/>
    <w:rsid w:val="0056214B"/>
    <w:rsid w:val="0056726C"/>
    <w:rsid w:val="00570E48"/>
    <w:rsid w:val="005754B4"/>
    <w:rsid w:val="005D415A"/>
    <w:rsid w:val="005E7348"/>
    <w:rsid w:val="00603E3F"/>
    <w:rsid w:val="006138F0"/>
    <w:rsid w:val="0066297F"/>
    <w:rsid w:val="00680696"/>
    <w:rsid w:val="006877A9"/>
    <w:rsid w:val="006A10CD"/>
    <w:rsid w:val="006B64D3"/>
    <w:rsid w:val="006C138B"/>
    <w:rsid w:val="006C228D"/>
    <w:rsid w:val="006D54A3"/>
    <w:rsid w:val="006F0D75"/>
    <w:rsid w:val="007A478C"/>
    <w:rsid w:val="007F79F1"/>
    <w:rsid w:val="008110DB"/>
    <w:rsid w:val="00815B3A"/>
    <w:rsid w:val="00827D1A"/>
    <w:rsid w:val="00833642"/>
    <w:rsid w:val="008346BF"/>
    <w:rsid w:val="00850FEB"/>
    <w:rsid w:val="00870641"/>
    <w:rsid w:val="008F3618"/>
    <w:rsid w:val="00936E30"/>
    <w:rsid w:val="0095769A"/>
    <w:rsid w:val="0096359D"/>
    <w:rsid w:val="00976513"/>
    <w:rsid w:val="009859CD"/>
    <w:rsid w:val="009B09B7"/>
    <w:rsid w:val="009C2D51"/>
    <w:rsid w:val="009D610B"/>
    <w:rsid w:val="00A011DB"/>
    <w:rsid w:val="00A46164"/>
    <w:rsid w:val="00A63D7C"/>
    <w:rsid w:val="00B26E3B"/>
    <w:rsid w:val="00B417E4"/>
    <w:rsid w:val="00B518C7"/>
    <w:rsid w:val="00B5656F"/>
    <w:rsid w:val="00BD203B"/>
    <w:rsid w:val="00C30A80"/>
    <w:rsid w:val="00C64CDB"/>
    <w:rsid w:val="00CA5DC9"/>
    <w:rsid w:val="00CB2B9C"/>
    <w:rsid w:val="00CC3CD6"/>
    <w:rsid w:val="00CE0F09"/>
    <w:rsid w:val="00CE3324"/>
    <w:rsid w:val="00CF514C"/>
    <w:rsid w:val="00D217EF"/>
    <w:rsid w:val="00D42D9D"/>
    <w:rsid w:val="00D720A8"/>
    <w:rsid w:val="00D74C24"/>
    <w:rsid w:val="00D87167"/>
    <w:rsid w:val="00D928CC"/>
    <w:rsid w:val="00DC276B"/>
    <w:rsid w:val="00DD0202"/>
    <w:rsid w:val="00DD185A"/>
    <w:rsid w:val="00DD3E62"/>
    <w:rsid w:val="00DF67B8"/>
    <w:rsid w:val="00E0041F"/>
    <w:rsid w:val="00E063CE"/>
    <w:rsid w:val="00E107A3"/>
    <w:rsid w:val="00E246E7"/>
    <w:rsid w:val="00E51696"/>
    <w:rsid w:val="00E82F00"/>
    <w:rsid w:val="00E85352"/>
    <w:rsid w:val="00E96676"/>
    <w:rsid w:val="00EA2E8B"/>
    <w:rsid w:val="00EA6672"/>
    <w:rsid w:val="00EB3FCC"/>
    <w:rsid w:val="00EF5E9C"/>
    <w:rsid w:val="00F16CA4"/>
    <w:rsid w:val="00F63CBA"/>
    <w:rsid w:val="00F8335D"/>
    <w:rsid w:val="00FD20D2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B35F8C"/>
  <w15:chartTrackingRefBased/>
  <w15:docId w15:val="{0D2A2B4F-EC5A-4F1E-A60E-79F155F7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b-NO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Framlagt"/>
    <w:qFormat/>
    <w:rsid w:val="00D74C24"/>
    <w:rPr>
      <w:rFonts w:eastAsia="Times New Roman"/>
      <w:sz w:val="24"/>
      <w:lang w:val="is-IS"/>
    </w:rPr>
  </w:style>
  <w:style w:type="paragraph" w:styleId="Heading1">
    <w:name w:val="heading 1"/>
    <w:basedOn w:val="Normal"/>
    <w:next w:val="Normal"/>
    <w:link w:val="Heading1Char"/>
    <w:qFormat/>
    <w:rsid w:val="00CC3CD6"/>
    <w:pPr>
      <w:spacing w:line="360" w:lineRule="auto"/>
      <w:jc w:val="both"/>
      <w:outlineLvl w:val="0"/>
    </w:pPr>
    <w:rPr>
      <w:rFonts w:ascii="Verdana" w:hAnsi="Verdana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1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66A6" w:themeColor="accent1"/>
      <w:sz w:val="26"/>
      <w:szCs w:val="26"/>
      <w:lang w:val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5122"/>
    <w:rPr>
      <w:rFonts w:ascii="Tahoma" w:eastAsiaTheme="minorHAnsi" w:hAnsi="Tahoma" w:cs="Tahoma"/>
      <w:sz w:val="16"/>
      <w:szCs w:val="16"/>
      <w:lang w:val="nb-N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122"/>
    <w:rPr>
      <w:rFonts w:ascii="Tahoma" w:hAnsi="Tahoma" w:cs="Tahoma"/>
      <w:sz w:val="16"/>
      <w:szCs w:val="16"/>
    </w:rPr>
  </w:style>
  <w:style w:type="paragraph" w:customStyle="1" w:styleId="DateHeading">
    <w:name w:val="DateHeading"/>
    <w:basedOn w:val="Normal"/>
    <w:rsid w:val="000F5122"/>
    <w:pPr>
      <w:tabs>
        <w:tab w:val="left" w:pos="6453"/>
        <w:tab w:val="left" w:pos="8970"/>
        <w:tab w:val="right" w:pos="9072"/>
      </w:tabs>
    </w:pPr>
    <w:rPr>
      <w:rFonts w:asciiTheme="minorHAnsi" w:eastAsiaTheme="minorHAnsi" w:hAnsiTheme="minorHAnsi" w:cs="Arial"/>
      <w:sz w:val="14"/>
      <w:szCs w:val="14"/>
      <w:lang w:val="nb-NO"/>
    </w:rPr>
  </w:style>
  <w:style w:type="paragraph" w:styleId="Footer">
    <w:name w:val="footer"/>
    <w:basedOn w:val="Normal"/>
    <w:link w:val="FooterChar"/>
    <w:uiPriority w:val="99"/>
    <w:unhideWhenUsed/>
    <w:rsid w:val="000F51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b-NO"/>
    </w:rPr>
  </w:style>
  <w:style w:type="character" w:customStyle="1" w:styleId="FooterChar">
    <w:name w:val="Footer Char"/>
    <w:basedOn w:val="DefaultParagraphFont"/>
    <w:link w:val="Footer"/>
    <w:uiPriority w:val="99"/>
    <w:rsid w:val="000F5122"/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F512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b-NO"/>
    </w:rPr>
  </w:style>
  <w:style w:type="character" w:customStyle="1" w:styleId="HeaderChar">
    <w:name w:val="Header Char"/>
    <w:basedOn w:val="DefaultParagraphFont"/>
    <w:link w:val="Header"/>
    <w:uiPriority w:val="99"/>
    <w:rsid w:val="000F5122"/>
    <w:rPr>
      <w:rFonts w:asciiTheme="minorHAnsi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F5122"/>
    <w:rPr>
      <w:rFonts w:asciiTheme="majorHAnsi" w:eastAsiaTheme="majorEastAsia" w:hAnsiTheme="majorHAnsi" w:cstheme="majorBidi"/>
      <w:b/>
      <w:bCs/>
      <w:color w:val="0066A6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0F5122"/>
    <w:rPr>
      <w:color w:val="5C2D91" w:themeColor="hyperlink"/>
      <w:u w:val="single"/>
    </w:rPr>
  </w:style>
  <w:style w:type="table" w:styleId="TableGrid">
    <w:name w:val="Table Grid"/>
    <w:basedOn w:val="TableNormal"/>
    <w:uiPriority w:val="59"/>
    <w:rsid w:val="000F5122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C3CD6"/>
    <w:rPr>
      <w:rFonts w:ascii="Verdana" w:eastAsia="Times New Roman" w:hAnsi="Verdana"/>
      <w:sz w:val="22"/>
      <w:szCs w:val="22"/>
      <w:lang w:val="is-IS"/>
    </w:rPr>
  </w:style>
  <w:style w:type="character" w:styleId="CommentReference">
    <w:name w:val="annotation reference"/>
    <w:basedOn w:val="DefaultParagraphFont"/>
    <w:semiHidden/>
    <w:unhideWhenUsed/>
    <w:rsid w:val="00EA2E8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A2E8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A2E8B"/>
    <w:rPr>
      <w:rFonts w:eastAsia="Times New Roman"/>
      <w:lang w:val="is-I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A2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A2E8B"/>
    <w:rPr>
      <w:rFonts w:eastAsia="Times New Roman"/>
      <w:b/>
      <w:bCs/>
      <w:lang w:val="is-IS"/>
    </w:rPr>
  </w:style>
  <w:style w:type="paragraph" w:styleId="ListParagraph">
    <w:name w:val="List Paragraph"/>
    <w:basedOn w:val="Normal"/>
    <w:uiPriority w:val="34"/>
    <w:qFormat/>
    <w:rsid w:val="00083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ELKM">
      <a:dk1>
        <a:srgbClr val="14171B"/>
      </a:dk1>
      <a:lt1>
        <a:srgbClr val="FFFFFF"/>
      </a:lt1>
      <a:dk2>
        <a:srgbClr val="6D6E71"/>
      </a:dk2>
      <a:lt2>
        <a:srgbClr val="B1B3B6"/>
      </a:lt2>
      <a:accent1>
        <a:srgbClr val="0066A6"/>
      </a:accent1>
      <a:accent2>
        <a:srgbClr val="00A9E9"/>
      </a:accent2>
      <a:accent3>
        <a:srgbClr val="8BD1EE"/>
      </a:accent3>
      <a:accent4>
        <a:srgbClr val="FBB034"/>
      </a:accent4>
      <a:accent5>
        <a:srgbClr val="F58220"/>
      </a:accent5>
      <a:accent6>
        <a:srgbClr val="BE001E"/>
      </a:accent6>
      <a:hlink>
        <a:srgbClr val="5C2D91"/>
      </a:hlink>
      <a:folHlink>
        <a:srgbClr val="954F72"/>
      </a:folHlink>
    </a:clrScheme>
    <a:fontScheme name="Custom 2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Birkir Guðmundarson</dc:creator>
  <cp:keywords/>
  <dc:description/>
  <cp:lastModifiedBy>Birkir Guðmundarson</cp:lastModifiedBy>
  <cp:revision>2</cp:revision>
  <dcterms:created xsi:type="dcterms:W3CDTF">2022-11-15T19:22:00Z</dcterms:created>
  <dcterms:modified xsi:type="dcterms:W3CDTF">2022-11-15T19:22:00Z</dcterms:modified>
</cp:coreProperties>
</file>